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2E" w:rsidRPr="0099602E" w:rsidRDefault="0099602E" w:rsidP="0099602E">
      <w:pPr>
        <w:rPr>
          <w:b/>
        </w:rPr>
      </w:pPr>
    </w:p>
    <w:p w:rsidR="0099602E" w:rsidRPr="0099602E" w:rsidRDefault="0099602E" w:rsidP="0099602E">
      <w:pPr>
        <w:rPr>
          <w:b/>
        </w:rPr>
      </w:pPr>
      <w:r w:rsidRPr="0099602E">
        <w:rPr>
          <w:b/>
        </w:rPr>
        <w:t>ΠΕΡΙΕΧΟΜΕΝΑ</w:t>
      </w:r>
      <w:r w:rsidRPr="0099602E">
        <w:rPr>
          <w:b/>
        </w:rPr>
        <w:t xml:space="preserve">  ΕΣΩΤΕΡΙΚΟΥ ΚΑΝΟΝΙΣΜΟΥ ΛΕΙΤΟΥΡΓΙΑΣ ΠΜΣ</w:t>
      </w:r>
    </w:p>
    <w:p w:rsidR="0099602E" w:rsidRDefault="0099602E" w:rsidP="0099602E"/>
    <w:p w:rsidR="0099602E" w:rsidRDefault="0099602E" w:rsidP="0099602E">
      <w:r>
        <w:t>ΕΙΣΑΓΩΓΗ</w:t>
      </w:r>
      <w:r>
        <w:tab/>
      </w:r>
    </w:p>
    <w:p w:rsidR="0099602E" w:rsidRDefault="0099602E" w:rsidP="0099602E">
      <w:r w:rsidRPr="0099602E">
        <w:rPr>
          <w:b/>
        </w:rPr>
        <w:t>Άρθρο 1</w:t>
      </w:r>
      <w:r>
        <w:t xml:space="preserve">. Αντικείμενο και Σκοπός του Προγράμματος </w:t>
      </w:r>
      <w:r>
        <w:t>Μεταπτυχιακών Σπουδών (Π.Μ.Σ.)</w:t>
      </w:r>
      <w:r>
        <w:tab/>
      </w:r>
    </w:p>
    <w:p w:rsidR="0099602E" w:rsidRDefault="0099602E" w:rsidP="0099602E">
      <w:r>
        <w:t>1.Σκοπός του ΠΜΣ</w:t>
      </w:r>
      <w:r>
        <w:tab/>
      </w:r>
    </w:p>
    <w:p w:rsidR="0099602E" w:rsidRDefault="0099602E" w:rsidP="0099602E">
      <w:r>
        <w:t>2.Γνωστικά αντικείμενα του ΠΜΣ</w:t>
      </w:r>
      <w:r>
        <w:tab/>
      </w:r>
    </w:p>
    <w:p w:rsidR="0099602E" w:rsidRDefault="0099602E" w:rsidP="0099602E">
      <w:r>
        <w:t>3.Τίτλος σπουδών</w:t>
      </w:r>
      <w:r>
        <w:tab/>
      </w:r>
    </w:p>
    <w:p w:rsidR="0099602E" w:rsidRDefault="0099602E" w:rsidP="0099602E">
      <w:r>
        <w:t>4.Κατηγορίες υποψηφίων στο ΠΜΣ</w:t>
      </w:r>
      <w:r>
        <w:tab/>
      </w:r>
    </w:p>
    <w:p w:rsidR="0099602E" w:rsidRDefault="0099602E" w:rsidP="0099602E">
      <w:r w:rsidRPr="0099602E">
        <w:rPr>
          <w:b/>
        </w:rPr>
        <w:t>Άρθρο 2.</w:t>
      </w:r>
      <w:r>
        <w:t xml:space="preserve"> Δίπλωμα Μεταπτυχιακών Σπουδών</w:t>
      </w:r>
      <w:r>
        <w:tab/>
      </w:r>
    </w:p>
    <w:p w:rsidR="0099602E" w:rsidRDefault="0099602E" w:rsidP="0099602E">
      <w:r>
        <w:t>1.Χρονική διάρκεια.</w:t>
      </w:r>
      <w:r>
        <w:tab/>
      </w:r>
    </w:p>
    <w:p w:rsidR="0099602E" w:rsidRDefault="0099602E" w:rsidP="0099602E">
      <w:r>
        <w:t>2.Προϋποθέσεις απόκτησης Διπ</w:t>
      </w:r>
      <w:r>
        <w:t>λώματος Μεταπτυχιακών Σπουδών.</w:t>
      </w:r>
      <w:r>
        <w:tab/>
      </w:r>
    </w:p>
    <w:p w:rsidR="0099602E" w:rsidRDefault="0099602E" w:rsidP="0099602E">
      <w:r>
        <w:t>3. Όργανα λειτουργίας του ΠΜΣ</w:t>
      </w:r>
      <w:r>
        <w:tab/>
      </w:r>
    </w:p>
    <w:p w:rsidR="0099602E" w:rsidRDefault="0099602E" w:rsidP="0099602E">
      <w:r w:rsidRPr="0099602E">
        <w:rPr>
          <w:b/>
        </w:rPr>
        <w:t>Άρθρο 3.</w:t>
      </w:r>
      <w:r>
        <w:t xml:space="preserve"> Εισακτέοι στο Π.Μ.Σ.-Διαδι</w:t>
      </w:r>
      <w:r>
        <w:t>κασίες επιλογής-Δωρεάν φοίτηση</w:t>
      </w:r>
      <w:r>
        <w:tab/>
      </w:r>
    </w:p>
    <w:p w:rsidR="0099602E" w:rsidRDefault="0099602E" w:rsidP="0099602E">
      <w:r>
        <w:t>1. Αιτήσεις</w:t>
      </w:r>
      <w:r>
        <w:tab/>
      </w:r>
    </w:p>
    <w:p w:rsidR="0099602E" w:rsidRDefault="0099602E" w:rsidP="0099602E">
      <w:r>
        <w:t>2. Διαδικασία επιλογής</w:t>
      </w:r>
      <w:r>
        <w:tab/>
      </w:r>
    </w:p>
    <w:p w:rsidR="0099602E" w:rsidRDefault="0099602E" w:rsidP="0099602E">
      <w:r>
        <w:t>3. Τέλη φοίτησης</w:t>
      </w:r>
      <w:r>
        <w:tab/>
      </w:r>
    </w:p>
    <w:p w:rsidR="0099602E" w:rsidRDefault="0099602E" w:rsidP="0099602E">
      <w:r>
        <w:t>4. Δωρεάν φοίτηση</w:t>
      </w:r>
      <w:r>
        <w:tab/>
      </w:r>
    </w:p>
    <w:p w:rsidR="0099602E" w:rsidRDefault="0099602E" w:rsidP="0099602E">
      <w:r w:rsidRPr="0099602E">
        <w:rPr>
          <w:b/>
        </w:rPr>
        <w:t>Άρθρο 4.</w:t>
      </w:r>
      <w:r>
        <w:t xml:space="preserve"> Πρόγραμμα</w:t>
      </w:r>
      <w:r>
        <w:tab/>
      </w:r>
    </w:p>
    <w:p w:rsidR="0099602E" w:rsidRDefault="0099602E" w:rsidP="0099602E">
      <w:r>
        <w:t>1. Πρόγραμμα μαθημάτων για το Μ</w:t>
      </w:r>
      <w:r>
        <w:t xml:space="preserve">εταπτυχιακό Δίπλωμα </w:t>
      </w:r>
      <w:bookmarkStart w:id="0" w:name="_GoBack"/>
      <w:bookmarkEnd w:id="0"/>
    </w:p>
    <w:p w:rsidR="0099602E" w:rsidRDefault="0099602E" w:rsidP="0099602E">
      <w:r>
        <w:t>2. Διδάσκοντες και ανάθεση διδασκαλίας στο Πρ</w:t>
      </w:r>
      <w:r>
        <w:t>όγραμμα Μεταπτυχιακών Σπουδών</w:t>
      </w:r>
      <w:r>
        <w:tab/>
      </w:r>
    </w:p>
    <w:p w:rsidR="0099602E" w:rsidRDefault="0099602E" w:rsidP="0099602E">
      <w:r>
        <w:t>3. Αμοιβές για διδασκαλία</w:t>
      </w:r>
      <w:r>
        <w:tab/>
      </w:r>
    </w:p>
    <w:p w:rsidR="0099602E" w:rsidRDefault="0099602E" w:rsidP="0099602E">
      <w:r>
        <w:t>4. Επίβλεψη</w:t>
      </w:r>
      <w:r>
        <w:tab/>
      </w:r>
    </w:p>
    <w:p w:rsidR="0099602E" w:rsidRDefault="0099602E" w:rsidP="0099602E">
      <w:r>
        <w:t>5. Αξιολόγηση</w:t>
      </w:r>
      <w:r>
        <w:tab/>
      </w:r>
    </w:p>
    <w:p w:rsidR="0099602E" w:rsidRDefault="0099602E" w:rsidP="0099602E">
      <w:r>
        <w:t>6. Μετ</w:t>
      </w:r>
      <w:r>
        <w:t>απτυχιακή Διπλωματική Εργασία</w:t>
      </w:r>
      <w:r>
        <w:tab/>
      </w:r>
    </w:p>
    <w:p w:rsidR="0099602E" w:rsidRDefault="0099602E" w:rsidP="0099602E">
      <w:r w:rsidRPr="0099602E">
        <w:rPr>
          <w:b/>
        </w:rPr>
        <w:t>Άρθρο 5.</w:t>
      </w:r>
      <w:r>
        <w:t xml:space="preserve"> Οικονομικά,</w:t>
      </w:r>
      <w:r>
        <w:t xml:space="preserve"> διαχείριση εσόδων και εξόδων</w:t>
      </w:r>
      <w:r>
        <w:tab/>
      </w:r>
    </w:p>
    <w:p w:rsidR="0099602E" w:rsidRDefault="0099602E" w:rsidP="0099602E">
      <w:r>
        <w:t>1.Πόροι</w:t>
      </w:r>
      <w:r>
        <w:tab/>
      </w:r>
    </w:p>
    <w:p w:rsidR="0099602E" w:rsidRDefault="0099602E" w:rsidP="0099602E">
      <w:r>
        <w:t>2. Διαχείριση</w:t>
      </w:r>
      <w:r>
        <w:tab/>
      </w:r>
    </w:p>
    <w:p w:rsidR="0099602E" w:rsidRDefault="0099602E" w:rsidP="0099602E">
      <w:r>
        <w:t>3. Δαπάνες</w:t>
      </w:r>
      <w:r>
        <w:tab/>
      </w:r>
    </w:p>
    <w:p w:rsidR="0099602E" w:rsidRDefault="0099602E" w:rsidP="0099602E">
      <w:r w:rsidRPr="0099602E">
        <w:rPr>
          <w:b/>
        </w:rPr>
        <w:t>Άρθρο 6.</w:t>
      </w:r>
      <w:r>
        <w:t xml:space="preserve"> Φοίτηση στο ΠΜΣ</w:t>
      </w:r>
      <w:r>
        <w:tab/>
      </w:r>
    </w:p>
    <w:p w:rsidR="0099602E" w:rsidRDefault="0099602E" w:rsidP="0099602E">
      <w:r>
        <w:t>1.Παρακολούθηση μαθημάτων.</w:t>
      </w:r>
      <w:r>
        <w:tab/>
      </w:r>
    </w:p>
    <w:p w:rsidR="0099602E" w:rsidRDefault="0099602E" w:rsidP="0099602E">
      <w:r>
        <w:lastRenderedPageBreak/>
        <w:t>2. Αναστολή φοίτησης.</w:t>
      </w:r>
      <w:r>
        <w:tab/>
      </w:r>
    </w:p>
    <w:p w:rsidR="0099602E" w:rsidRDefault="0099602E" w:rsidP="0099602E">
      <w:r>
        <w:t>3. Υλικοτεχνική Υποδομή.</w:t>
      </w:r>
    </w:p>
    <w:p w:rsidR="0099602E" w:rsidRDefault="0099602E" w:rsidP="0099602E">
      <w:r>
        <w:t>4. Ολοκλήρωση των σπουδών.</w:t>
      </w:r>
      <w:r>
        <w:tab/>
      </w:r>
    </w:p>
    <w:p w:rsidR="0099602E" w:rsidRDefault="0099602E" w:rsidP="0099602E">
      <w:r>
        <w:t>5. Ιδρυματικό αποθετήριο.</w:t>
      </w:r>
      <w:r>
        <w:tab/>
      </w:r>
    </w:p>
    <w:p w:rsidR="0099602E" w:rsidRDefault="0099602E" w:rsidP="0099602E">
      <w:r>
        <w:t>6. Βεβαιώσεις.</w:t>
      </w:r>
      <w:r>
        <w:tab/>
      </w:r>
    </w:p>
    <w:p w:rsidR="0099602E" w:rsidRDefault="0099602E" w:rsidP="0099602E">
      <w:r>
        <w:t>7. Γραμματειακή κάλυψη, τεχνολογι</w:t>
      </w:r>
      <w:r>
        <w:t>κή και οικονομική υποστήριξη.</w:t>
      </w:r>
      <w:r>
        <w:tab/>
      </w:r>
    </w:p>
    <w:p w:rsidR="0099602E" w:rsidRDefault="0099602E" w:rsidP="0099602E">
      <w:r>
        <w:t>8. Υποτροφίες.</w:t>
      </w:r>
      <w:r>
        <w:tab/>
      </w:r>
    </w:p>
    <w:p w:rsidR="0099602E" w:rsidRDefault="0099602E" w:rsidP="0099602E">
      <w:r>
        <w:t>9. Ιστοσελίδα του ΠΜΣ.</w:t>
      </w:r>
      <w:r>
        <w:tab/>
      </w:r>
    </w:p>
    <w:p w:rsidR="0099602E" w:rsidRDefault="0099602E" w:rsidP="0099602E">
      <w:r w:rsidRPr="0099602E">
        <w:rPr>
          <w:b/>
        </w:rPr>
        <w:t>Άρθρο 9.</w:t>
      </w:r>
      <w:r>
        <w:t xml:space="preserve"> Διασφάλιση ποιότητας</w:t>
      </w:r>
      <w:r>
        <w:tab/>
      </w:r>
    </w:p>
    <w:p w:rsidR="0099602E" w:rsidRDefault="0099602E" w:rsidP="0099602E">
      <w:r>
        <w:t>1. Πνευματ</w:t>
      </w:r>
      <w:r>
        <w:t>ικά δικαιώματα και λογοκλοπή.</w:t>
      </w:r>
      <w:r>
        <w:tab/>
      </w:r>
    </w:p>
    <w:p w:rsidR="0099602E" w:rsidRDefault="0099602E" w:rsidP="0099602E">
      <w:r>
        <w:t xml:space="preserve">2. Επιτροπή Ηθικής </w:t>
      </w:r>
      <w:r>
        <w:t>και Δεοντολογίας της Έρευνας.</w:t>
      </w:r>
      <w:r>
        <w:tab/>
      </w:r>
    </w:p>
    <w:p w:rsidR="0099602E" w:rsidRDefault="0099602E" w:rsidP="0099602E">
      <w:r>
        <w:t>3. Αξιολόγηση Προγράμματος</w:t>
      </w:r>
      <w:r>
        <w:tab/>
      </w:r>
    </w:p>
    <w:p w:rsidR="0099602E" w:rsidRDefault="0099602E" w:rsidP="0099602E">
      <w:r w:rsidRPr="0099602E">
        <w:rPr>
          <w:b/>
        </w:rPr>
        <w:t>Άρ</w:t>
      </w:r>
      <w:r w:rsidRPr="0099602E">
        <w:rPr>
          <w:b/>
        </w:rPr>
        <w:t>θρο 10.</w:t>
      </w:r>
      <w:r>
        <w:t xml:space="preserve"> Μεταβατικές ρυθμίσεις</w:t>
      </w:r>
      <w:r>
        <w:tab/>
      </w:r>
    </w:p>
    <w:p w:rsidR="0099602E" w:rsidRDefault="0099602E" w:rsidP="0099602E"/>
    <w:p w:rsidR="0099602E" w:rsidRDefault="0099602E" w:rsidP="0099602E"/>
    <w:p w:rsidR="0099602E" w:rsidRDefault="0099602E"/>
    <w:p w:rsidR="0099602E" w:rsidRDefault="0099602E"/>
    <w:sectPr w:rsidR="009960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2E"/>
    <w:rsid w:val="0099602E"/>
    <w:rsid w:val="00F3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E73E"/>
  <w15:chartTrackingRefBased/>
  <w15:docId w15:val="{9A7ECC5C-BF1E-4E42-8215-4A15EAFB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2E"/>
    <w:pPr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6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99602E"/>
    <w:pPr>
      <w:keepNext/>
      <w:keepLines/>
      <w:spacing w:before="40" w:after="0" w:line="24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9602E"/>
    <w:rPr>
      <w:rFonts w:ascii="Calibri" w:eastAsiaTheme="majorEastAsia" w:hAnsi="Calibri" w:cstheme="majorBidi"/>
      <w:b/>
      <w:color w:val="2E74B5" w:themeColor="accent1" w:themeShade="BF"/>
      <w:sz w:val="28"/>
      <w:szCs w:val="26"/>
      <w:lang w:eastAsia="ko-KR"/>
    </w:rPr>
  </w:style>
  <w:style w:type="character" w:styleId="-">
    <w:name w:val="Hyperlink"/>
    <w:basedOn w:val="a0"/>
    <w:uiPriority w:val="99"/>
    <w:rsid w:val="0099602E"/>
    <w:rPr>
      <w:rFonts w:cs="Times New Roman"/>
      <w:color w:val="0000FF"/>
      <w:u w:val="single"/>
    </w:rPr>
  </w:style>
  <w:style w:type="table" w:styleId="a3">
    <w:name w:val="Table Grid"/>
    <w:basedOn w:val="a1"/>
    <w:uiPriority w:val="59"/>
    <w:rsid w:val="0099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Char"/>
    <w:qFormat/>
    <w:rsid w:val="0099602E"/>
    <w:pPr>
      <w:spacing w:after="0" w:line="240" w:lineRule="auto"/>
      <w:jc w:val="center"/>
    </w:pPr>
    <w:rPr>
      <w:rFonts w:ascii="Times New Roman" w:eastAsia="Batang" w:hAnsi="Times New Roman" w:cs="Times New Roman"/>
      <w:b/>
      <w:sz w:val="32"/>
      <w:szCs w:val="20"/>
      <w:lang w:eastAsia="el-GR"/>
    </w:rPr>
  </w:style>
  <w:style w:type="character" w:customStyle="1" w:styleId="Char">
    <w:name w:val="Τίτλος Char"/>
    <w:basedOn w:val="a0"/>
    <w:link w:val="a4"/>
    <w:rsid w:val="0099602E"/>
    <w:rPr>
      <w:rFonts w:ascii="Times New Roman" w:eastAsia="Batang" w:hAnsi="Times New Roman" w:cs="Times New Roman"/>
      <w:b/>
      <w:sz w:val="32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996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99602E"/>
    <w:pPr>
      <w:outlineLvl w:val="9"/>
    </w:pPr>
    <w:rPr>
      <w:lang w:eastAsia="el-GR"/>
    </w:rPr>
  </w:style>
  <w:style w:type="paragraph" w:styleId="20">
    <w:name w:val="toc 2"/>
    <w:basedOn w:val="a"/>
    <w:next w:val="a"/>
    <w:autoRedefine/>
    <w:uiPriority w:val="39"/>
    <w:unhideWhenUsed/>
    <w:rsid w:val="0099602E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99602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TSIRONI ELENI</dc:creator>
  <cp:keywords/>
  <dc:description/>
  <cp:lastModifiedBy>TSIRONI ELENI</cp:lastModifiedBy>
  <cp:revision>1</cp:revision>
  <dcterms:created xsi:type="dcterms:W3CDTF">2022-10-17T08:56:00Z</dcterms:created>
  <dcterms:modified xsi:type="dcterms:W3CDTF">2022-10-17T09:04:00Z</dcterms:modified>
</cp:coreProperties>
</file>