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17C" w:rsidRDefault="007719A5" w:rsidP="00A5117C">
      <w:r w:rsidRPr="005E3A44">
        <w:rPr>
          <w:noProof/>
          <w:lang w:eastAsia="el-GR"/>
        </w:rPr>
        <w:drawing>
          <wp:inline distT="0" distB="0" distL="0" distR="0" wp14:anchorId="54830495" wp14:editId="4153B440">
            <wp:extent cx="899160" cy="1146559"/>
            <wp:effectExtent l="0" t="0" r="0" b="0"/>
            <wp:docPr id="3" name="Εικόνα 3" descr="\\ad.uth.gr\SharedFolders\modip\18_LOGOTYPO\Nea logotypa\ΜΟΔΙ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.uth.gr\SharedFolders\modip\18_LOGOTYPO\Nea logotypa\ΜΟΔΙ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80" cy="116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4819">
        <w:tab/>
      </w:r>
      <w:r w:rsidR="00264819">
        <w:tab/>
      </w:r>
      <w:r w:rsidR="00264819">
        <w:tab/>
      </w:r>
      <w:bookmarkStart w:id="0" w:name="_GoBack"/>
      <w:bookmarkEnd w:id="0"/>
      <w:r w:rsidR="00264819">
        <w:tab/>
      </w:r>
      <w:r w:rsidR="00264819">
        <w:tab/>
      </w:r>
      <w:r w:rsidR="00264819">
        <w:tab/>
      </w:r>
      <w:r w:rsidR="00264819">
        <w:tab/>
      </w:r>
      <w:r w:rsidR="00264819">
        <w:tab/>
      </w:r>
      <w:r w:rsidR="00264819" w:rsidRPr="00264819">
        <w:rPr>
          <w:rFonts w:ascii="Cambria" w:eastAsia="Calibri" w:hAnsi="Cambria" w:cs="Times New Roman"/>
          <w:b/>
          <w:noProof/>
          <w:color w:val="C00000"/>
          <w:sz w:val="28"/>
          <w:szCs w:val="28"/>
          <w:lang w:eastAsia="el-GR"/>
        </w:rPr>
        <w:drawing>
          <wp:inline distT="0" distB="0" distL="0" distR="0" wp14:anchorId="0C1C09BE" wp14:editId="2AAE6B95">
            <wp:extent cx="967913" cy="925830"/>
            <wp:effectExtent l="0" t="0" r="3810" b="762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916" cy="932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76"/>
        <w:gridCol w:w="960"/>
        <w:gridCol w:w="960"/>
      </w:tblGrid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b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b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Ερωτηματολόγιο αξιολόγησης ΠΠΣ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ΝΑΙ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ΌΧΙ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shd w:val="clear" w:color="auto" w:fill="F4B083" w:themeFill="accent2" w:themeFillTint="99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1.      ΠΟΛΙΤΙΚΗ ΠΟΙΟΤΗΤΑΣ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Κείμενο Πολιτικής Ποιότητας αναρτημένο στην ιστοσελίδα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Προγραμματισμός στόχων και δράσεων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Τρόποι </w:t>
            </w:r>
            <w:proofErr w:type="spellStart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επικοινώνησης</w:t>
            </w:r>
            <w:proofErr w:type="spellEnd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 της Πολιτικής Ποιότητας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shd w:val="clear" w:color="auto" w:fill="F4B083" w:themeFill="accent2" w:themeFillTint="99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2.      ΣΧΕΔΙΑΣΜΟΣ ΚΑΙ ΕΓΚΡΙΣΗ ΠΠΣ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Είναι </w:t>
            </w:r>
            <w:proofErr w:type="spellStart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επικαιροποιημένο</w:t>
            </w:r>
            <w:proofErr w:type="spellEnd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 το γνωστικό αντικείμενο του ΠΠΣ (εφαρμογή προγράμματος συνδεδεμένου με τις πρόσφατες επιστημονικές εξελίξεις και με τις απαιτήσεις της αγοράς εργασίας)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Παρουσίαση της στρατηγικής του ΠΠΣ και πώς αυτή συνδέεται με τη στρατηγική του Ιδρύματος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Συμμετοχή φοιτητών στη διαμόρφωση του ΠΠΣ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Συμμετοχή αποφοίτων στη διαμόρφωση του ΠΠΣ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Συμμετοχή κοινωνικών εταίρων στη διαμόρφωση του ΠΠΣ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lastRenderedPageBreak/>
              <w:t xml:space="preserve">·        Πραγματοποιείται ενσωμάτωση των νέων γνώσεων στο ΠΠΣ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Συγκριτική αξιολόγηση με άλλα ΠΠΣ ΑΕΙ του εσωτερικού/ εξωτερικού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Η δομή του ΠΠΣ διασφαλίζει την ομαλή μετάβαση των φοιτητών στα διάφορα στάδια σπουδών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Υπάρχει διασύνδεση της διδασκαλίας με την έρευνα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Το πρόγραμμα σπουδών είναι δομημένο με βάση το σύστημα ECTS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Παρέχεται στους φοιτητές η δυνατότητα εργασιακής εμπειρίας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Οδηγός Σπουδών (με πιστωτικές μονάδες ECTS, προσδοκώμενα μαθησιακά αποτελέσματα)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Κανονισμός ΠΠΣ και λοιποί κανονισμοί (π.χ. κινητικότητας, πρακτικής άσκησης, συγγραφής πτυχιακής εργασίας, κ.λπ.)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Περιγράμματα μαθημάτων για όλα τα μαθήματα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Οδηγός Σπουδών (με πιστωτικές μονάδες ECTS, προσδοκώμενα μαθησιακά αποτελέσματα)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shd w:val="clear" w:color="auto" w:fill="F4B083" w:themeFill="accent2" w:themeFillTint="99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3. ΦΟΙΤΗΤΟΚΕΝΤΡΙΚΗ ΜΑΘΗΣΗ, ΔΙΔΑΣΚΑΛΙΑ ΚΑΙ ΑΞΙΟΛΟΓΗΣΗ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lastRenderedPageBreak/>
              <w:t xml:space="preserve">·        Δημιουργία μαθησιακού περιβάλλοντος για την επιτυχή και έγκαιρη ολοκλήρωση σπουδών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Ποικιλία μεθόδων διδασκαλίας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Ποικιλία μεθόδων αξιολόγησης των επιδόσεων των φοιτητών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Διαμόρφωση του ΠΠΣ με βάση τα μαθησιακά αποτελέσματα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Αξιοποίηση των αποτελεσμάτων επεξεργασίας των ερωτηματολογίων των φοιτητών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Διαδικασίες διαχείρισης φοιτητικών παραπόνων και ενστάσεων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Δεδομένα επιδόσεων φοιτητών (ΟΠΕΣΠ)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shd w:val="clear" w:color="auto" w:fill="F4B083" w:themeFill="accent2" w:themeFillTint="99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4.      ΕΙΣΑΓΩΓΗ ΦΟΙΤΗΤΩΝ, ΣΤΑΔΙΑ ΦΟΙΤΗΣΗΣ, ΑΝΑΓΝΩΡΙΣΗ ΣΠΟΥΔΩΝ ΚΑΙ ΛΗΨΗ ΠΤΥΧΙΟΥ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Ενημερωτικές συναντήσεις/ εκδηλώσεις για τους πρωτοετείς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Παροχή κινήτρων (βραβεία, υποτροφίες κ.λπ.)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Αναφορά όρων και προϋποθέσεων για την κινητικότητα των φοιτητών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Ύπαρξη πρόσθετης οικονομικής ενίσχυσης των φοιτητών που συμμετέχουν σε προγράμματα κινητικότητας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lastRenderedPageBreak/>
              <w:t xml:space="preserve">·        Ανάληψη ενεργειών για την ενημέρωση της ακαδημαϊκής κοινότητας σχετικά με τα προγράμματα κινητικότητας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Εφαρμόζεται το σύστημα μεταφοράς πιστωτικών μονάδων (ECTS)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Εκδίδεται το Παράρτημα Διπλώματος (</w:t>
            </w:r>
            <w:proofErr w:type="spellStart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Diploma</w:t>
            </w:r>
            <w:proofErr w:type="spellEnd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 </w:t>
            </w:r>
            <w:proofErr w:type="spellStart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Supplement</w:t>
            </w:r>
            <w:proofErr w:type="spellEnd"/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) αυτόματα για όλους τους πτυχιούχους του ΠΠΣ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Υπάρχουν συγκεκριμένες προδιαγραφές ποιότητας για την πτυχιακή/ διπλωματική εργασία, οι οποίες αναφέρονται στον Κανονισμό Σπουδών (αναφερθείτε στο σχετικό άρθρο)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Εφαρμόζεται ο θεσμός της πρακτικής άσκησης των φοιτητών;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Εάν έχει αναπτυχθεί δίκτυο διασύνδεσης του ΠΠΣ με κοινωνικούς, πολιτιστικούς ή παραγωγικούς φορείς, με σκοπό την πρακτική άσκηση των φοιτητών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Λαμβάνονται πρωτοβουλίες προκειμένου να δημιουργηθούν θέσεις πρακτικής άσκησης φοιτητών (σε τοπικό, εθνικό και ευρωπαϊκό επίπεδο)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Υπάρχει συνεργασία μεταξύ των διδασκόντων/ εποπτών του ΠΠΣ και των εκπροσώπων των φορέων εκπόνησης της πρακτικής άσκησης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shd w:val="clear" w:color="auto" w:fill="F4B083" w:themeFill="accent2" w:themeFillTint="99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5.      ΔΙΔΑΚΤΙΚΟ ΠΡΟΣΩΠΙΚΟ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shd w:val="clear" w:color="auto" w:fill="F4B083" w:themeFill="accent2" w:themeFillTint="99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lastRenderedPageBreak/>
              <w:t xml:space="preserve">·        Διαδικασίες επιλογής και εξέλιξης των μελών διδακτικού προσωπικού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Βραβεία διδασκαλίας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Διαδικασία αξιολόγησης διδασκόντων από φοιτητές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288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Πρακτικές προσέλκυσης μελών ακαδημαϊκού προσωπικού υψηλού επιπέδου στο ΠΠΣ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 xml:space="preserve">·        Προσδιορίζεται το μέσο εβδομαδιαίο φόρτο διδακτικού έργου των μελών του ακαδημαϊκού προσωπικού και η διακύμανση μεταξύ της ελάχιστης και της μέγιστης επιβάρυνσης 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  <w:tr w:rsidR="00B25BCF" w:rsidRPr="00B25BCF" w:rsidTr="005F3E10">
        <w:trPr>
          <w:trHeight w:val="576"/>
        </w:trPr>
        <w:tc>
          <w:tcPr>
            <w:tcW w:w="9700" w:type="dxa"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·        Λαμβάνονται υπόψη τα αποτελέσματα αξιολόγησης των διδασκόντων από τους φοιτητές στην ακαδημαϊκή εξέλιξή τους;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  <w:tc>
          <w:tcPr>
            <w:tcW w:w="960" w:type="dxa"/>
            <w:noWrap/>
            <w:hideMark/>
          </w:tcPr>
          <w:p w:rsidR="00B25BCF" w:rsidRPr="00B25BCF" w:rsidRDefault="00B25BCF" w:rsidP="00B25BCF">
            <w:pPr>
              <w:spacing w:after="160" w:line="259" w:lineRule="auto"/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</w:pPr>
            <w:r w:rsidRPr="00B25BCF">
              <w:rPr>
                <w:rFonts w:ascii="Franklin Gothic Book" w:eastAsia="Times New Roman" w:hAnsi="Franklin Gothic Book" w:cs="Times New Roman"/>
                <w:color w:val="E84C22"/>
                <w:sz w:val="32"/>
                <w:szCs w:val="32"/>
                <w14:textFill>
                  <w14:solidFill>
                    <w14:srgbClr w14:val="E84C22">
                      <w14:lumMod w14:val="75000"/>
                    </w14:srgbClr>
                  </w14:solidFill>
                </w14:textFill>
              </w:rPr>
              <w:t> </w:t>
            </w:r>
          </w:p>
        </w:tc>
      </w:tr>
    </w:tbl>
    <w:p w:rsidR="00B0113A" w:rsidRPr="00B25BCF" w:rsidRDefault="00B0113A" w:rsidP="00A5117C">
      <w:pPr>
        <w:rPr>
          <w:rFonts w:ascii="Franklin Gothic Book" w:eastAsia="Times New Roman" w:hAnsi="Franklin Gothic Book" w:cs="Times New Roman"/>
          <w:color w:val="E84C22"/>
          <w:sz w:val="32"/>
          <w:szCs w:val="32"/>
          <w14:textFill>
            <w14:solidFill>
              <w14:srgbClr w14:val="E84C22">
                <w14:lumMod w14:val="75000"/>
              </w14:srgbClr>
            </w14:solidFill>
          </w14:textFill>
        </w:rPr>
      </w:pPr>
    </w:p>
    <w:p w:rsidR="00317EFC" w:rsidRDefault="00317EFC"/>
    <w:sectPr w:rsidR="00317E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819" w:rsidRDefault="00264819" w:rsidP="00264819">
      <w:pPr>
        <w:spacing w:after="0" w:line="240" w:lineRule="auto"/>
      </w:pPr>
      <w:r>
        <w:separator/>
      </w:r>
    </w:p>
  </w:endnote>
  <w:endnote w:type="continuationSeparator" w:id="0">
    <w:p w:rsidR="00264819" w:rsidRDefault="00264819" w:rsidP="0026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819" w:rsidRDefault="0026481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819" w:rsidRDefault="0026481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819" w:rsidRDefault="0026481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819" w:rsidRDefault="00264819" w:rsidP="00264819">
      <w:pPr>
        <w:spacing w:after="0" w:line="240" w:lineRule="auto"/>
      </w:pPr>
      <w:r>
        <w:separator/>
      </w:r>
    </w:p>
  </w:footnote>
  <w:footnote w:type="continuationSeparator" w:id="0">
    <w:p w:rsidR="00264819" w:rsidRDefault="00264819" w:rsidP="0026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819" w:rsidRDefault="00B25BCF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157145" o:spid="_x0000_s2050" type="#_x0000_t75" style="position:absolute;margin-left:0;margin-top:0;width:415.25pt;height:415.25pt;z-index:-251657216;mso-position-horizontal:center;mso-position-horizontal-relative:margin;mso-position-vertical:center;mso-position-vertical-relative:margin" o:allowincell="f">
          <v:imagedata r:id="rId1" o:title="kentaur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819" w:rsidRDefault="00B25BCF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157146" o:spid="_x0000_s2051" type="#_x0000_t75" style="position:absolute;margin-left:0;margin-top:0;width:415.25pt;height:415.25pt;z-index:-251656192;mso-position-horizontal:center;mso-position-horizontal-relative:margin;mso-position-vertical:center;mso-position-vertical-relative:margin" o:allowincell="f">
          <v:imagedata r:id="rId1" o:title="kentaur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819" w:rsidRDefault="00B25BCF">
    <w:pPr>
      <w:pStyle w:val="a3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157144" o:spid="_x0000_s2049" type="#_x0000_t75" style="position:absolute;margin-left:0;margin-top:0;width:415.25pt;height:415.25pt;z-index:-251658240;mso-position-horizontal:center;mso-position-horizontal-relative:margin;mso-position-vertical:center;mso-position-vertical-relative:margin" o:allowincell="f">
          <v:imagedata r:id="rId1" o:title="kentaur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71EBA"/>
    <w:multiLevelType w:val="hybridMultilevel"/>
    <w:tmpl w:val="8C2283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19"/>
    <w:rsid w:val="00026AD4"/>
    <w:rsid w:val="00264819"/>
    <w:rsid w:val="00317EFC"/>
    <w:rsid w:val="007719A5"/>
    <w:rsid w:val="00A5117C"/>
    <w:rsid w:val="00B0113A"/>
    <w:rsid w:val="00B2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3C9E30"/>
  <w15:chartTrackingRefBased/>
  <w15:docId w15:val="{532C3A70-7B50-42AE-AB04-7F8E144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4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64819"/>
  </w:style>
  <w:style w:type="paragraph" w:styleId="a4">
    <w:name w:val="footer"/>
    <w:basedOn w:val="a"/>
    <w:link w:val="Char0"/>
    <w:uiPriority w:val="99"/>
    <w:unhideWhenUsed/>
    <w:rsid w:val="00264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64819"/>
  </w:style>
  <w:style w:type="character" w:styleId="-">
    <w:name w:val="Hyperlink"/>
    <w:basedOn w:val="a0"/>
    <w:uiPriority w:val="99"/>
    <w:unhideWhenUsed/>
    <w:rsid w:val="007719A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B25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TSIRONI ELENI</cp:lastModifiedBy>
  <cp:revision>2</cp:revision>
  <cp:lastPrinted>2023-06-03T05:50:00Z</cp:lastPrinted>
  <dcterms:created xsi:type="dcterms:W3CDTF">2024-10-17T10:33:00Z</dcterms:created>
  <dcterms:modified xsi:type="dcterms:W3CDTF">2024-10-17T10:33:00Z</dcterms:modified>
</cp:coreProperties>
</file>